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E9E" w:rsidRDefault="00106E9E" w:rsidP="00106E9E">
      <w:pPr>
        <w:pStyle w:val="1"/>
        <w:rPr>
          <w:szCs w:val="24"/>
        </w:rPr>
      </w:pPr>
      <w:bookmarkStart w:id="0" w:name="_Toc443726270"/>
      <w:bookmarkStart w:id="1" w:name="_GoBack"/>
      <w:r>
        <w:t>Метрологические характеристики приборов учета</w:t>
      </w:r>
      <w:bookmarkEnd w:id="0"/>
    </w:p>
    <w:bookmarkEnd w:id="1"/>
    <w:p w:rsidR="00106E9E" w:rsidRDefault="00106E9E" w:rsidP="00106E9E">
      <w:pPr>
        <w:jc w:val="both"/>
        <w:rPr>
          <w:rFonts w:ascii="Times New Roman" w:hAnsi="Times New Roman"/>
          <w:b/>
          <w:bCs/>
        </w:rPr>
      </w:pPr>
    </w:p>
    <w:p w:rsidR="00106E9E" w:rsidRDefault="00106E9E" w:rsidP="00106E9E">
      <w:pPr>
        <w:jc w:val="both"/>
        <w:rPr>
          <w:rFonts w:ascii="Times New Roman" w:hAnsi="Times New Roman"/>
        </w:rPr>
      </w:pPr>
      <w:r>
        <w:rPr>
          <w:rFonts w:ascii="Times New Roman" w:hAnsi="Times New Roman"/>
        </w:rPr>
        <w:tab/>
        <w:t xml:space="preserve">Для учета электрической энергии, потребляемой гражданами, а также на границе раздела объектов электросетевого хозяйства и внутридомовых инженерных систем многоквартирного дома подлежат использованию приборы учета класса точности 2,0 и выше. </w:t>
      </w:r>
    </w:p>
    <w:p w:rsidR="00106E9E" w:rsidRDefault="00106E9E" w:rsidP="00106E9E">
      <w:pPr>
        <w:jc w:val="both"/>
        <w:rPr>
          <w:rFonts w:ascii="Times New Roman" w:hAnsi="Times New Roman"/>
        </w:rPr>
      </w:pPr>
      <w:r>
        <w:rPr>
          <w:rFonts w:ascii="Times New Roman" w:hAnsi="Times New Roman"/>
        </w:rPr>
        <w:tab/>
        <w:t xml:space="preserve">В многоквартирных домах, присоединение которых к объектам электросетевого хозяйства осуществлено после вступления в силу ОПФРРЭЭ, на границе раздела объектов электросетевого хозяйства и внутридомовых инженерных систем подлежат установке коллективные (общедомовые) приборы учета класса точности 1,0 и выше. </w:t>
      </w:r>
    </w:p>
    <w:p w:rsidR="00106E9E" w:rsidRDefault="00106E9E" w:rsidP="00106E9E">
      <w:pPr>
        <w:jc w:val="both"/>
        <w:rPr>
          <w:rFonts w:ascii="Times New Roman" w:hAnsi="Times New Roman"/>
        </w:rPr>
      </w:pPr>
      <w:r>
        <w:rPr>
          <w:rFonts w:ascii="Times New Roman" w:hAnsi="Times New Roman"/>
        </w:rPr>
        <w:tab/>
      </w:r>
      <w:proofErr w:type="gramStart"/>
      <w:r>
        <w:rPr>
          <w:rFonts w:ascii="Times New Roman" w:hAnsi="Times New Roman"/>
        </w:rPr>
        <w:t xml:space="preserve">Для учета электрической энергии, потребляемой потребителями, 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w:t>
      </w:r>
      <w:proofErr w:type="spellStart"/>
      <w:r>
        <w:rPr>
          <w:rFonts w:ascii="Times New Roman" w:hAnsi="Times New Roman"/>
        </w:rPr>
        <w:t>кВ</w:t>
      </w:r>
      <w:proofErr w:type="spellEnd"/>
      <w:r>
        <w:rPr>
          <w:rFonts w:ascii="Times New Roman" w:hAnsi="Times New Roman"/>
        </w:rPr>
        <w:t xml:space="preserve"> и ниже и класса точности 0,5S и выше - для точек присоединения к объектам электросетевого хозяйства напряжением 110 </w:t>
      </w:r>
      <w:proofErr w:type="spellStart"/>
      <w:r>
        <w:rPr>
          <w:rFonts w:ascii="Times New Roman" w:hAnsi="Times New Roman"/>
        </w:rPr>
        <w:t>кВ</w:t>
      </w:r>
      <w:proofErr w:type="spellEnd"/>
      <w:r>
        <w:rPr>
          <w:rFonts w:ascii="Times New Roman" w:hAnsi="Times New Roman"/>
        </w:rPr>
        <w:t xml:space="preserve"> и выше.</w:t>
      </w:r>
      <w:proofErr w:type="gramEnd"/>
    </w:p>
    <w:p w:rsidR="00106E9E" w:rsidRDefault="00106E9E" w:rsidP="00106E9E">
      <w:pPr>
        <w:jc w:val="both"/>
        <w:rPr>
          <w:rFonts w:ascii="Times New Roman" w:hAnsi="Times New Roman"/>
        </w:rPr>
      </w:pPr>
      <w:r>
        <w:rPr>
          <w:rFonts w:ascii="Times New Roman" w:hAnsi="Times New Roman"/>
        </w:rPr>
        <w:tab/>
        <w:t xml:space="preserve">Для учета электрической энергии, потребляемой потребителями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электрической энергии </w:t>
      </w:r>
      <w:proofErr w:type="gramStart"/>
      <w:r>
        <w:rPr>
          <w:rFonts w:ascii="Times New Roman" w:hAnsi="Times New Roman"/>
        </w:rPr>
        <w:t>за</w:t>
      </w:r>
      <w:proofErr w:type="gramEnd"/>
      <w:r>
        <w:rPr>
          <w:rFonts w:ascii="Times New Roman" w:hAnsi="Times New Roman"/>
        </w:rPr>
        <w:t xml:space="preserve"> последние 120 дней и более или включенные в систему учета.</w:t>
      </w:r>
    </w:p>
    <w:p w:rsidR="00106E9E" w:rsidRDefault="00106E9E" w:rsidP="00106E9E">
      <w:pPr>
        <w:jc w:val="both"/>
        <w:rPr>
          <w:rFonts w:ascii="Times New Roman" w:hAnsi="Times New Roman"/>
        </w:rPr>
      </w:pPr>
      <w:r>
        <w:rPr>
          <w:rFonts w:ascii="Times New Roman" w:hAnsi="Times New Roman"/>
        </w:rPr>
        <w:tab/>
      </w:r>
      <w:proofErr w:type="gramStart"/>
      <w:r>
        <w:rPr>
          <w:rFonts w:ascii="Times New Roman" w:hAnsi="Times New Roman"/>
        </w:rPr>
        <w:t xml:space="preserve">Для учета реактивной мощности, потребляемой (производимой) потребителями с максимальной мощностью не менее 670 кВт, в случае если в договоре оказания услуг по передаче электрической энергии, заключенном в отношении </w:t>
      </w:r>
      <w:proofErr w:type="spellStart"/>
      <w:r>
        <w:rPr>
          <w:rFonts w:ascii="Times New Roman" w:hAnsi="Times New Roman"/>
        </w:rPr>
        <w:t>энергопринимающих</w:t>
      </w:r>
      <w:proofErr w:type="spellEnd"/>
      <w:r>
        <w:rPr>
          <w:rFonts w:ascii="Times New Roman" w:hAnsi="Times New Roman"/>
        </w:rPr>
        <w:t xml:space="preserve"> устройств таких потребителей в соответствии с Правилами недискриминационного доступа к услугам по передаче электрической энергии и оказания этих услуг, имеется условие о соблюдении соотношения потребления активной и реактивной мощности, подлежат использованию</w:t>
      </w:r>
      <w:proofErr w:type="gramEnd"/>
      <w:r>
        <w:rPr>
          <w:rFonts w:ascii="Times New Roman" w:hAnsi="Times New Roman"/>
        </w:rPr>
        <w:t xml:space="preserve"> приборы учета, позволяющие учитывать реактивную мощность или совмещающие учет активной и реактивной мощности и измеряющие почасовые объемы потребления (производства) реактивной мощности. При этом указанные приборы учета должны иметь класс точности не ниже 2,0, но не более чем на одну ступень ниже класса точности используемых приборов учета, позволяющих определять активную мощность. </w:t>
      </w:r>
    </w:p>
    <w:p w:rsidR="00106E9E" w:rsidRDefault="00106E9E" w:rsidP="00106E9E">
      <w:pPr>
        <w:jc w:val="both"/>
        <w:rPr>
          <w:rFonts w:ascii="Times New Roman" w:hAnsi="Times New Roman"/>
        </w:rPr>
      </w:pPr>
      <w:r>
        <w:rPr>
          <w:rFonts w:ascii="Times New Roman" w:hAnsi="Times New Roman"/>
        </w:rPr>
        <w:tab/>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106E9E" w:rsidRDefault="00106E9E" w:rsidP="00106E9E">
      <w:pPr>
        <w:jc w:val="both"/>
        <w:rPr>
          <w:rFonts w:ascii="Times New Roman" w:hAnsi="Times New Roman"/>
        </w:rPr>
      </w:pPr>
      <w:r>
        <w:rPr>
          <w:rFonts w:ascii="Times New Roman" w:hAnsi="Times New Roman"/>
        </w:rPr>
        <w:tab/>
        <w:t xml:space="preserve">Используемые приборы учета (измерительные трансформаторы) класса точности ниже, чем указано в вышестоящих пунктах, могут быть использованы вплоть до </w:t>
      </w:r>
      <w:proofErr w:type="gramStart"/>
      <w:r>
        <w:rPr>
          <w:rFonts w:ascii="Times New Roman" w:hAnsi="Times New Roman"/>
        </w:rPr>
        <w:t>истечения</w:t>
      </w:r>
      <w:proofErr w:type="gramEnd"/>
      <w:r>
        <w:rPr>
          <w:rFonts w:ascii="Times New Roman" w:hAnsi="Times New Roman"/>
        </w:rPr>
        <w:t xml:space="preserve"> установленного для них </w:t>
      </w:r>
      <w:proofErr w:type="spellStart"/>
      <w:r>
        <w:rPr>
          <w:rFonts w:ascii="Times New Roman" w:hAnsi="Times New Roman"/>
        </w:rPr>
        <w:t>межповерочного</w:t>
      </w:r>
      <w:proofErr w:type="spellEnd"/>
      <w:r>
        <w:rPr>
          <w:rFonts w:ascii="Times New Roman" w:hAnsi="Times New Roman"/>
        </w:rPr>
        <w:t xml:space="preserve"> интервала либо до момента выхода таких приборов учета из строя или их утраты, если это произошло до истечения </w:t>
      </w:r>
      <w:proofErr w:type="spellStart"/>
      <w:r>
        <w:rPr>
          <w:rFonts w:ascii="Times New Roman" w:hAnsi="Times New Roman"/>
        </w:rPr>
        <w:t>межповерочного</w:t>
      </w:r>
      <w:proofErr w:type="spellEnd"/>
      <w:r>
        <w:rPr>
          <w:rFonts w:ascii="Times New Roman" w:hAnsi="Times New Roman"/>
        </w:rPr>
        <w:t xml:space="preserve"> интервала. По истечении </w:t>
      </w:r>
      <w:proofErr w:type="spellStart"/>
      <w:r>
        <w:rPr>
          <w:rFonts w:ascii="Times New Roman" w:hAnsi="Times New Roman"/>
        </w:rPr>
        <w:t>межповерочного</w:t>
      </w:r>
      <w:proofErr w:type="spellEnd"/>
      <w:r>
        <w:rPr>
          <w:rFonts w:ascii="Times New Roman" w:hAnsi="Times New Roman"/>
        </w:rPr>
        <w:t xml:space="preserve"> интервала либо после выхода приборов учета из строя или их утраты, если это произошло до истечения </w:t>
      </w:r>
      <w:proofErr w:type="spellStart"/>
      <w:r>
        <w:rPr>
          <w:rFonts w:ascii="Times New Roman" w:hAnsi="Times New Roman"/>
        </w:rPr>
        <w:t>межповерочного</w:t>
      </w:r>
      <w:proofErr w:type="spellEnd"/>
      <w:r>
        <w:rPr>
          <w:rFonts w:ascii="Times New Roman" w:hAnsi="Times New Roman"/>
        </w:rPr>
        <w:t xml:space="preserve"> интервала, такие приборы учета подлежат замене. </w:t>
      </w:r>
    </w:p>
    <w:p w:rsidR="00106E9E" w:rsidRDefault="00106E9E" w:rsidP="00106E9E">
      <w:pPr>
        <w:jc w:val="both"/>
        <w:rPr>
          <w:rFonts w:ascii="Times New Roman" w:hAnsi="Times New Roman"/>
        </w:rPr>
      </w:pPr>
      <w:r>
        <w:rPr>
          <w:rFonts w:ascii="Times New Roman" w:hAnsi="Times New Roman"/>
        </w:rPr>
        <w:tab/>
      </w:r>
      <w:proofErr w:type="spellStart"/>
      <w:r>
        <w:rPr>
          <w:rFonts w:ascii="Times New Roman" w:hAnsi="Times New Roman"/>
        </w:rPr>
        <w:t>Энергопринимающие</w:t>
      </w:r>
      <w:proofErr w:type="spellEnd"/>
      <w:r>
        <w:rPr>
          <w:rFonts w:ascii="Times New Roman" w:hAnsi="Times New Roman"/>
        </w:rPr>
        <w:t xml:space="preserve"> устройства потребителя считаются оборудованными приборами учета, позволяющими измерять почасовые объемы потребления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настоящим пунктом допускается использование интегральных приборов учета. Использование интегральных приборов учета допускается по точкам поставки на объектах электросетевого хозяйства напряжением 10 </w:t>
      </w:r>
      <w:proofErr w:type="spellStart"/>
      <w:r>
        <w:rPr>
          <w:rFonts w:ascii="Times New Roman" w:hAnsi="Times New Roman"/>
        </w:rPr>
        <w:t>кВ</w:t>
      </w:r>
      <w:proofErr w:type="spellEnd"/>
      <w:r>
        <w:rPr>
          <w:rFonts w:ascii="Times New Roman" w:hAnsi="Times New Roman"/>
        </w:rPr>
        <w:t xml:space="preserve"> и ниже при условии, что суммарная максимальная мощность по данным точкам поставки не </w:t>
      </w:r>
      <w:r>
        <w:rPr>
          <w:rFonts w:ascii="Times New Roman" w:hAnsi="Times New Roman"/>
        </w:rPr>
        <w:lastRenderedPageBreak/>
        <w:t xml:space="preserve">превышает 2,5 процента максимальной мощности всех точек поставки в границах балансовой принадлежности потребителя. </w:t>
      </w:r>
    </w:p>
    <w:p w:rsidR="00621868" w:rsidRDefault="00621868"/>
    <w:sectPr w:rsidR="00621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E9E"/>
    <w:rsid w:val="00106E9E"/>
    <w:rsid w:val="00621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E9E"/>
    <w:pPr>
      <w:widowControl w:val="0"/>
      <w:suppressAutoHyphens/>
      <w:spacing w:after="0" w:line="240" w:lineRule="auto"/>
    </w:pPr>
    <w:rPr>
      <w:rFonts w:ascii="Arial" w:eastAsia="SimSun" w:hAnsi="Arial" w:cs="Mangal"/>
      <w:kern w:val="1"/>
      <w:sz w:val="24"/>
      <w:szCs w:val="24"/>
      <w:lang w:eastAsia="hi-IN" w:bidi="hi-IN"/>
    </w:rPr>
  </w:style>
  <w:style w:type="paragraph" w:styleId="1">
    <w:name w:val="heading 1"/>
    <w:basedOn w:val="a"/>
    <w:next w:val="a0"/>
    <w:link w:val="10"/>
    <w:qFormat/>
    <w:rsid w:val="00106E9E"/>
    <w:pPr>
      <w:keepNext/>
      <w:numPr>
        <w:numId w:val="1"/>
      </w:numPr>
      <w:spacing w:before="170" w:after="57"/>
      <w:ind w:left="0" w:firstLine="0"/>
      <w:outlineLvl w:val="0"/>
    </w:pPr>
    <w:rPr>
      <w:rFonts w:ascii="Times New Roman" w:eastAsia="Microsoft YaHei" w:hAnsi="Times New Roman"/>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06E9E"/>
    <w:rPr>
      <w:rFonts w:ascii="Times New Roman" w:eastAsia="Microsoft YaHei" w:hAnsi="Times New Roman" w:cs="Mangal"/>
      <w:b/>
      <w:bCs/>
      <w:kern w:val="1"/>
      <w:sz w:val="24"/>
      <w:szCs w:val="32"/>
      <w:lang w:eastAsia="hi-IN" w:bidi="hi-IN"/>
    </w:rPr>
  </w:style>
  <w:style w:type="paragraph" w:styleId="a0">
    <w:name w:val="Body Text"/>
    <w:basedOn w:val="a"/>
    <w:link w:val="a4"/>
    <w:uiPriority w:val="99"/>
    <w:semiHidden/>
    <w:unhideWhenUsed/>
    <w:rsid w:val="00106E9E"/>
    <w:pPr>
      <w:spacing w:after="120"/>
    </w:pPr>
    <w:rPr>
      <w:szCs w:val="21"/>
    </w:rPr>
  </w:style>
  <w:style w:type="character" w:customStyle="1" w:styleId="a4">
    <w:name w:val="Основной текст Знак"/>
    <w:basedOn w:val="a1"/>
    <w:link w:val="a0"/>
    <w:uiPriority w:val="99"/>
    <w:semiHidden/>
    <w:rsid w:val="00106E9E"/>
    <w:rPr>
      <w:rFonts w:ascii="Arial" w:eastAsia="SimSun" w:hAnsi="Arial" w:cs="Mangal"/>
      <w:kern w:val="1"/>
      <w:sz w:val="24"/>
      <w:szCs w:val="2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E9E"/>
    <w:pPr>
      <w:widowControl w:val="0"/>
      <w:suppressAutoHyphens/>
      <w:spacing w:after="0" w:line="240" w:lineRule="auto"/>
    </w:pPr>
    <w:rPr>
      <w:rFonts w:ascii="Arial" w:eastAsia="SimSun" w:hAnsi="Arial" w:cs="Mangal"/>
      <w:kern w:val="1"/>
      <w:sz w:val="24"/>
      <w:szCs w:val="24"/>
      <w:lang w:eastAsia="hi-IN" w:bidi="hi-IN"/>
    </w:rPr>
  </w:style>
  <w:style w:type="paragraph" w:styleId="1">
    <w:name w:val="heading 1"/>
    <w:basedOn w:val="a"/>
    <w:next w:val="a0"/>
    <w:link w:val="10"/>
    <w:qFormat/>
    <w:rsid w:val="00106E9E"/>
    <w:pPr>
      <w:keepNext/>
      <w:numPr>
        <w:numId w:val="1"/>
      </w:numPr>
      <w:spacing w:before="170" w:after="57"/>
      <w:ind w:left="0" w:firstLine="0"/>
      <w:outlineLvl w:val="0"/>
    </w:pPr>
    <w:rPr>
      <w:rFonts w:ascii="Times New Roman" w:eastAsia="Microsoft YaHei" w:hAnsi="Times New Roman"/>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06E9E"/>
    <w:rPr>
      <w:rFonts w:ascii="Times New Roman" w:eastAsia="Microsoft YaHei" w:hAnsi="Times New Roman" w:cs="Mangal"/>
      <w:b/>
      <w:bCs/>
      <w:kern w:val="1"/>
      <w:sz w:val="24"/>
      <w:szCs w:val="32"/>
      <w:lang w:eastAsia="hi-IN" w:bidi="hi-IN"/>
    </w:rPr>
  </w:style>
  <w:style w:type="paragraph" w:styleId="a0">
    <w:name w:val="Body Text"/>
    <w:basedOn w:val="a"/>
    <w:link w:val="a4"/>
    <w:uiPriority w:val="99"/>
    <w:semiHidden/>
    <w:unhideWhenUsed/>
    <w:rsid w:val="00106E9E"/>
    <w:pPr>
      <w:spacing w:after="120"/>
    </w:pPr>
    <w:rPr>
      <w:szCs w:val="21"/>
    </w:rPr>
  </w:style>
  <w:style w:type="character" w:customStyle="1" w:styleId="a4">
    <w:name w:val="Основной текст Знак"/>
    <w:basedOn w:val="a1"/>
    <w:link w:val="a0"/>
    <w:uiPriority w:val="99"/>
    <w:semiHidden/>
    <w:rsid w:val="00106E9E"/>
    <w:rPr>
      <w:rFonts w:ascii="Arial" w:eastAsia="SimSun" w:hAnsi="Arial"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konradi_iy</dc:creator>
  <cp:lastModifiedBy>konradi_iy</cp:lastModifiedBy>
  <cp:revision>1</cp:revision>
  <dcterms:created xsi:type="dcterms:W3CDTF">2019-04-09T02:11:00Z</dcterms:created>
  <dcterms:modified xsi:type="dcterms:W3CDTF">2019-04-09T02:11:00Z</dcterms:modified>
</cp:coreProperties>
</file>